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D5" w:rsidRPr="0083354E" w:rsidRDefault="00AA0FD5" w:rsidP="0083354E">
      <w:pPr>
        <w:jc w:val="center"/>
        <w:rPr>
          <w:b/>
          <w:sz w:val="40"/>
          <w:szCs w:val="40"/>
        </w:rPr>
      </w:pPr>
      <w:r w:rsidRPr="0083354E">
        <w:rPr>
          <w:b/>
          <w:sz w:val="40"/>
          <w:szCs w:val="40"/>
        </w:rPr>
        <w:t>Cedar Rapids Community Schools Foundation</w:t>
      </w:r>
    </w:p>
    <w:p w:rsidR="007361F7" w:rsidRPr="0083354E" w:rsidRDefault="00E54010" w:rsidP="0083354E">
      <w:pPr>
        <w:jc w:val="center"/>
        <w:rPr>
          <w:b/>
          <w:sz w:val="40"/>
          <w:szCs w:val="40"/>
        </w:rPr>
      </w:pPr>
      <w:r w:rsidRPr="0083354E">
        <w:rPr>
          <w:b/>
          <w:sz w:val="40"/>
          <w:szCs w:val="40"/>
        </w:rPr>
        <w:t>Document Retention &amp; Destruction Policy</w:t>
      </w:r>
    </w:p>
    <w:p w:rsidR="00E54010" w:rsidRPr="0083354E" w:rsidRDefault="00E41628" w:rsidP="0083354E">
      <w:bookmarkStart w:id="0" w:name="_GoBack"/>
      <w:bookmarkEnd w:id="0"/>
      <w:r w:rsidRPr="0083354E">
        <w:t xml:space="preserve">Realizing that </w:t>
      </w:r>
      <w:r w:rsidR="00E54010" w:rsidRPr="0083354E">
        <w:t xml:space="preserve">federal laws </w:t>
      </w:r>
      <w:r w:rsidRPr="0083354E">
        <w:t xml:space="preserve">(in addition to State of Iowa rulings) </w:t>
      </w:r>
      <w:r w:rsidR="00E54010" w:rsidRPr="0083354E">
        <w:t>prohibit the destruction of</w:t>
      </w:r>
      <w:r w:rsidRPr="0083354E">
        <w:t xml:space="preserve">, as well as require the retention of </w:t>
      </w:r>
      <w:r w:rsidR="00E54010" w:rsidRPr="0083354E">
        <w:t>certain documents</w:t>
      </w:r>
      <w:r w:rsidRPr="0083354E">
        <w:t>, the Cedar Rapids Community Schools Foundation (CRCSF) has committed to a</w:t>
      </w:r>
      <w:r w:rsidR="00E54010" w:rsidRPr="0083354E">
        <w:t xml:space="preserve"> written</w:t>
      </w:r>
      <w:r w:rsidRPr="0083354E">
        <w:t xml:space="preserve"> “D</w:t>
      </w:r>
      <w:r w:rsidR="00E54010" w:rsidRPr="0083354E">
        <w:t xml:space="preserve">ocument </w:t>
      </w:r>
      <w:r w:rsidRPr="0083354E">
        <w:t>R</w:t>
      </w:r>
      <w:r w:rsidR="00E54010" w:rsidRPr="0083354E">
        <w:t xml:space="preserve">etention and </w:t>
      </w:r>
      <w:r w:rsidRPr="0083354E">
        <w:t>D</w:t>
      </w:r>
      <w:r w:rsidR="00E54010" w:rsidRPr="0083354E">
        <w:t xml:space="preserve">estruction </w:t>
      </w:r>
      <w:r w:rsidRPr="0083354E">
        <w:t>P</w:t>
      </w:r>
      <w:r w:rsidR="00E54010" w:rsidRPr="0083354E">
        <w:t>olicy.</w:t>
      </w:r>
      <w:r w:rsidRPr="0083354E">
        <w:t>”</w:t>
      </w:r>
      <w:r w:rsidR="00E54010" w:rsidRPr="0083354E">
        <w:t xml:space="preserve"> </w:t>
      </w:r>
      <w:r w:rsidRPr="0083354E">
        <w:t>The policy below sets these guidelines and facilitates the Board of Trustees’ fulfillment of the duty of care and establishment of transparency.</w:t>
      </w:r>
    </w:p>
    <w:p w:rsidR="00E54010" w:rsidRPr="0083354E" w:rsidRDefault="00E54010" w:rsidP="0083354E">
      <w:r w:rsidRPr="0083354E">
        <w:t xml:space="preserve">The </w:t>
      </w:r>
      <w:r w:rsidR="00AC3BFC" w:rsidRPr="0083354E">
        <w:t>“</w:t>
      </w:r>
      <w:r w:rsidRPr="0083354E">
        <w:t>Document Retention and Destruction Policy</w:t>
      </w:r>
      <w:r w:rsidR="00AC3BFC" w:rsidRPr="0083354E">
        <w:t>”</w:t>
      </w:r>
      <w:r w:rsidRPr="0083354E">
        <w:t xml:space="preserve"> identifies the record retention responsibilities of staff, volunteers, members of the board of </w:t>
      </w:r>
      <w:r w:rsidR="00E41628" w:rsidRPr="0083354E">
        <w:t>trustee</w:t>
      </w:r>
      <w:r w:rsidRPr="0083354E">
        <w:t xml:space="preserve">s, and outsiders for maintaining and documenting the storage and destruction of the organization’s documents and records. </w:t>
      </w:r>
    </w:p>
    <w:p w:rsidR="00E54010" w:rsidRPr="0083354E" w:rsidRDefault="00E54010" w:rsidP="0083354E">
      <w:r w:rsidRPr="0083354E">
        <w:t xml:space="preserve">The organization’s staff, volunteers, members of the board of </w:t>
      </w:r>
      <w:r w:rsidR="00AC3BFC" w:rsidRPr="0083354E">
        <w:t>trustee</w:t>
      </w:r>
      <w:r w:rsidRPr="0083354E">
        <w:t xml:space="preserve">s, committee members and outsiders (independent contractors via agreements with them) are required to honor the following rules: </w:t>
      </w:r>
    </w:p>
    <w:p w:rsidR="00E54010" w:rsidRPr="0083354E" w:rsidRDefault="00E54010" w:rsidP="0083354E">
      <w:r w:rsidRPr="0083354E">
        <w:rPr>
          <w:i/>
        </w:rPr>
        <w:t>a.</w:t>
      </w:r>
      <w:r w:rsidRPr="0083354E">
        <w:tab/>
        <w:t xml:space="preserve">Paper or electronic documents indicated under the terms for retention </w:t>
      </w:r>
      <w:r w:rsidR="00AC3BFC" w:rsidRPr="0083354E">
        <w:t>a</w:t>
      </w:r>
      <w:r w:rsidR="0083354E">
        <w:t>s</w:t>
      </w:r>
      <w:r w:rsidR="00AC3BFC" w:rsidRPr="0083354E">
        <w:t xml:space="preserve"> outlined below;</w:t>
      </w:r>
    </w:p>
    <w:p w:rsidR="00E54010" w:rsidRPr="0083354E" w:rsidRDefault="00E54010" w:rsidP="0083354E">
      <w:r w:rsidRPr="0083354E">
        <w:rPr>
          <w:i/>
        </w:rPr>
        <w:t>b.</w:t>
      </w:r>
      <w:r w:rsidRPr="0083354E">
        <w:tab/>
      </w:r>
      <w:r w:rsidR="00AC3BFC" w:rsidRPr="0083354E">
        <w:t>P</w:t>
      </w:r>
      <w:r w:rsidRPr="0083354E">
        <w:t xml:space="preserve">aper </w:t>
      </w:r>
      <w:r w:rsidR="00AC3BFC" w:rsidRPr="0083354E">
        <w:t xml:space="preserve">or electronic </w:t>
      </w:r>
      <w:r w:rsidRPr="0083354E">
        <w:t>documents</w:t>
      </w:r>
      <w:r w:rsidR="00AC3BFC" w:rsidRPr="0083354E">
        <w:t xml:space="preserve"> not indicated in the table</w:t>
      </w:r>
      <w:r w:rsidRPr="0083354E">
        <w:t xml:space="preserve"> will be destroyed after three years;  </w:t>
      </w:r>
    </w:p>
    <w:p w:rsidR="00E54010" w:rsidRPr="0083354E" w:rsidRDefault="00E54010" w:rsidP="0083354E">
      <w:pPr>
        <w:ind w:left="720" w:hanging="720"/>
      </w:pPr>
      <w:r w:rsidRPr="0083354E">
        <w:rPr>
          <w:i/>
        </w:rPr>
        <w:t>c.</w:t>
      </w:r>
      <w:r w:rsidRPr="0083354E">
        <w:tab/>
        <w:t xml:space="preserve">No paper or electronic documents will be destroyed if pertinent to any ongoing or </w:t>
      </w:r>
      <w:r w:rsidR="00DE271D">
        <w:t xml:space="preserve">reasonably </w:t>
      </w:r>
      <w:r w:rsidRPr="0083354E">
        <w:t xml:space="preserve">anticipated government investigation or proceeding or private litigation; and  </w:t>
      </w:r>
    </w:p>
    <w:p w:rsidR="00E54010" w:rsidRPr="0083354E" w:rsidRDefault="00DE271D" w:rsidP="0083354E">
      <w:pPr>
        <w:ind w:left="720" w:hanging="720"/>
      </w:pPr>
      <w:r>
        <w:rPr>
          <w:i/>
        </w:rPr>
        <w:t>d</w:t>
      </w:r>
      <w:r w:rsidR="00E54010" w:rsidRPr="0083354E">
        <w:rPr>
          <w:i/>
        </w:rPr>
        <w:t>.</w:t>
      </w:r>
      <w:r w:rsidR="00E54010" w:rsidRPr="0083354E">
        <w:tab/>
        <w:t xml:space="preserve">No paper or electronic documents will be destroyed as required to comply with government auditing standards (Single Audit Act).  </w:t>
      </w:r>
    </w:p>
    <w:p w:rsidR="00AC3BFC" w:rsidRPr="0083354E" w:rsidRDefault="00E54010" w:rsidP="0083354E">
      <w:pPr>
        <w:rPr>
          <w:b/>
          <w:sz w:val="32"/>
          <w:szCs w:val="32"/>
        </w:rPr>
      </w:pPr>
      <w:r w:rsidRPr="0083354E">
        <w:rPr>
          <w:b/>
          <w:sz w:val="32"/>
          <w:szCs w:val="32"/>
        </w:rPr>
        <w:t>The following table indicates the</w:t>
      </w:r>
      <w:r w:rsidR="00AC3BFC" w:rsidRPr="0083354E">
        <w:rPr>
          <w:b/>
          <w:sz w:val="32"/>
          <w:szCs w:val="32"/>
        </w:rPr>
        <w:t xml:space="preserve"> document retention </w:t>
      </w:r>
      <w:r w:rsidRPr="0083354E">
        <w:rPr>
          <w:b/>
          <w:sz w:val="32"/>
          <w:szCs w:val="32"/>
        </w:rPr>
        <w:t>requirements</w:t>
      </w:r>
      <w:r w:rsidR="0083354E">
        <w:rPr>
          <w:b/>
          <w:sz w:val="32"/>
          <w:szCs w:val="32"/>
        </w:rPr>
        <w:t>:</w:t>
      </w:r>
    </w:p>
    <w:p w:rsidR="00E54010" w:rsidRPr="0083354E" w:rsidRDefault="00E54010" w:rsidP="0083354E">
      <w:r w:rsidRPr="0083354E">
        <w:t xml:space="preserve"> </w:t>
      </w:r>
    </w:p>
    <w:tbl>
      <w:tblPr>
        <w:tblW w:w="0" w:type="auto"/>
        <w:tblBorders>
          <w:top w:val="single" w:sz="6" w:space="0" w:color="296AA5"/>
          <w:left w:val="single" w:sz="6" w:space="0" w:color="296AA5"/>
          <w:bottom w:val="single" w:sz="6" w:space="0" w:color="296AA5"/>
          <w:right w:val="single" w:sz="6" w:space="0" w:color="296AA5"/>
        </w:tblBorders>
        <w:shd w:val="clear" w:color="auto" w:fill="296AA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968"/>
      </w:tblGrid>
      <w:tr w:rsidR="00E54010" w:rsidRPr="0083354E" w:rsidTr="0090533A">
        <w:trPr>
          <w:cantSplit/>
          <w:tblHeader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333333"/>
          </w:tcPr>
          <w:p w:rsidR="00E54010" w:rsidRPr="0083354E" w:rsidRDefault="00E54010" w:rsidP="0083354E">
            <w:r w:rsidRPr="0083354E">
              <w:rPr>
                <w:bCs/>
              </w:rPr>
              <w:t>Type of Document</w:t>
            </w:r>
          </w:p>
        </w:tc>
        <w:tc>
          <w:tcPr>
            <w:tcW w:w="39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</w:tcPr>
          <w:p w:rsidR="00E54010" w:rsidRPr="0083354E" w:rsidRDefault="00E54010" w:rsidP="0083354E">
            <w:r w:rsidRPr="0083354E">
              <w:t>Requirement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Accounts payable ledgers and schedules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Audit reports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Bank reconciliations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2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Bank statements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3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Checks (</w:t>
            </w:r>
            <w:r w:rsidR="00AC3BFC" w:rsidRPr="0083354E">
              <w:t>payments and/or purchases $100k+</w:t>
            </w:r>
            <w:r w:rsidRPr="0083354E">
              <w:t>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Contracts, mortgages, notes, and leases (expired)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Contracts (still in effect)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Contract period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Correspondence (general)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2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lastRenderedPageBreak/>
              <w:t xml:space="preserve">Correspondence (legal and </w:t>
            </w:r>
            <w:r w:rsidR="00AC3BFC" w:rsidRPr="0083354E">
              <w:t>donor restricted</w:t>
            </w:r>
            <w:r w:rsidRPr="0083354E">
              <w:t>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 xml:space="preserve">Correspondence (with </w:t>
            </w:r>
            <w:r w:rsidR="00AC3BFC" w:rsidRPr="0083354E">
              <w:t>donors</w:t>
            </w:r>
            <w:r w:rsidRPr="0083354E">
              <w:t xml:space="preserve"> and vendors)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2 years</w:t>
            </w:r>
          </w:p>
        </w:tc>
      </w:tr>
      <w:tr w:rsidR="00DE271D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DE271D" w:rsidRPr="0083354E" w:rsidRDefault="00DE271D" w:rsidP="0083354E">
            <w:r>
              <w:t>CRCSF hosted websites and social media</w:t>
            </w:r>
          </w:p>
        </w:tc>
        <w:tc>
          <w:tcPr>
            <w:tcW w:w="3968" w:type="dxa"/>
          </w:tcPr>
          <w:p w:rsidR="00DE271D" w:rsidRPr="0083354E" w:rsidRDefault="00DE271D" w:rsidP="0083354E">
            <w:r>
              <w:t>3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Deeds, mortgages, and bills of sale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Depreciation schedules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Deposit slips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2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Employment applications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3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Expense analyses/expense distribution schedules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 xml:space="preserve">Year-end financial statements 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Insurance records, current accident reports, claims, policies (active and expired)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Internal audit reports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3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Inventory records for products, materials, and supplies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3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Invoices (to</w:t>
            </w:r>
            <w:r w:rsidR="0083354E" w:rsidRPr="0083354E">
              <w:t>/</w:t>
            </w:r>
            <w:r w:rsidRPr="0083354E">
              <w:t>from vendors)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Minutes, bylaws, and charter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Patents and related papers</w:t>
            </w:r>
            <w:r w:rsidR="0083354E" w:rsidRPr="0083354E">
              <w:t>, if held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Payroll records and summaries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Personnel files (</w:t>
            </w:r>
            <w:r w:rsidR="0083354E" w:rsidRPr="0083354E">
              <w:t xml:space="preserve">current and </w:t>
            </w:r>
            <w:r w:rsidRPr="0083354E">
              <w:t>terminated)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Retirement and pension records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Tax returns and worksheets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Timesheet</w:t>
            </w:r>
            <w:r w:rsidR="0083354E" w:rsidRPr="0083354E">
              <w:t>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Trademark registrations and copyrights</w:t>
            </w:r>
            <w:r w:rsidR="0083354E" w:rsidRPr="0083354E">
              <w:t>, if held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Permanently</w:t>
            </w:r>
          </w:p>
        </w:tc>
      </w:tr>
      <w:tr w:rsidR="00E54010" w:rsidRPr="0083354E" w:rsidTr="009053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400" w:type="dxa"/>
          </w:tcPr>
          <w:p w:rsidR="00E54010" w:rsidRPr="0083354E" w:rsidRDefault="00E54010" w:rsidP="0083354E">
            <w:r w:rsidRPr="0083354E">
              <w:t>Withholding tax statements</w:t>
            </w:r>
          </w:p>
        </w:tc>
        <w:tc>
          <w:tcPr>
            <w:tcW w:w="3968" w:type="dxa"/>
          </w:tcPr>
          <w:p w:rsidR="00E54010" w:rsidRPr="0083354E" w:rsidRDefault="00E54010" w:rsidP="0083354E">
            <w:r w:rsidRPr="0083354E">
              <w:t>7 years</w:t>
            </w:r>
          </w:p>
        </w:tc>
      </w:tr>
    </w:tbl>
    <w:p w:rsidR="00E54010" w:rsidRPr="0083354E" w:rsidRDefault="00E54010" w:rsidP="0083354E"/>
    <w:p w:rsidR="00E54010" w:rsidRPr="000A37B8" w:rsidRDefault="00C50441" w:rsidP="00C50441">
      <w:pPr>
        <w:pBdr>
          <w:bottom w:val="single" w:sz="4" w:space="1" w:color="auto"/>
        </w:pBdr>
        <w:rPr>
          <w:b/>
        </w:rPr>
      </w:pPr>
      <w:r w:rsidRPr="000A37B8">
        <w:rPr>
          <w:b/>
        </w:rPr>
        <w:t>Notes:</w:t>
      </w:r>
    </w:p>
    <w:p w:rsidR="00C50441" w:rsidRPr="000A37B8" w:rsidRDefault="00C50441" w:rsidP="00C50441">
      <w:pPr>
        <w:pStyle w:val="ListParagraph"/>
        <w:numPr>
          <w:ilvl w:val="0"/>
          <w:numId w:val="2"/>
        </w:numPr>
      </w:pPr>
      <w:r w:rsidRPr="000A37B8">
        <w:t>Time length requirements begin July 1 of the fiscal year in which said document, record, form, policy, etc. was initially received and/or created by the CRCSF.</w:t>
      </w:r>
    </w:p>
    <w:p w:rsidR="00C50441" w:rsidRPr="000A37B8" w:rsidRDefault="00C50441" w:rsidP="00C50441">
      <w:pPr>
        <w:pStyle w:val="ListParagraph"/>
        <w:numPr>
          <w:ilvl w:val="0"/>
          <w:numId w:val="2"/>
        </w:numPr>
      </w:pPr>
      <w:r w:rsidRPr="000A37B8">
        <w:lastRenderedPageBreak/>
        <w:t>If said document is/includes correspondence, such time length requirement will begin with the date of last communication.</w:t>
      </w:r>
    </w:p>
    <w:p w:rsidR="000A37B8" w:rsidRPr="000A37B8" w:rsidRDefault="000A37B8" w:rsidP="00C50441">
      <w:pPr>
        <w:pStyle w:val="ListParagraph"/>
        <w:numPr>
          <w:ilvl w:val="0"/>
          <w:numId w:val="2"/>
        </w:numPr>
      </w:pPr>
      <w:r w:rsidRPr="000A37B8">
        <w:t>Due to the changing nature of requirements, this policy shall be reviewed every three (3) years by the CRCSF Board of Trustees to ensure agreement with any unforeseen changes.</w:t>
      </w:r>
    </w:p>
    <w:p w:rsidR="000A37B8" w:rsidRPr="000A37B8" w:rsidRDefault="000A37B8" w:rsidP="0083354E">
      <w:pPr>
        <w:rPr>
          <w:i/>
        </w:rPr>
      </w:pPr>
    </w:p>
    <w:p w:rsidR="000A37B8" w:rsidRDefault="000A37B8" w:rsidP="0083354E">
      <w:pPr>
        <w:rPr>
          <w:i/>
        </w:rPr>
      </w:pPr>
    </w:p>
    <w:p w:rsidR="00E54010" w:rsidRPr="0083354E" w:rsidRDefault="00E54010" w:rsidP="0083354E">
      <w:pPr>
        <w:rPr>
          <w:i/>
        </w:rPr>
      </w:pPr>
      <w:r w:rsidRPr="0083354E">
        <w:rPr>
          <w:i/>
        </w:rPr>
        <w:t xml:space="preserve">Adopted by the Cedar Rapids Community Schools Foundation Board of Trustees, </w:t>
      </w:r>
      <w:r w:rsidR="000A37B8">
        <w:rPr>
          <w:i/>
        </w:rPr>
        <w:t>February 2026</w:t>
      </w:r>
    </w:p>
    <w:sectPr w:rsidR="00E54010" w:rsidRPr="0083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CB9" w:rsidRDefault="003D1CB9" w:rsidP="00E54010">
      <w:pPr>
        <w:spacing w:after="0" w:line="240" w:lineRule="auto"/>
      </w:pPr>
      <w:r>
        <w:separator/>
      </w:r>
    </w:p>
  </w:endnote>
  <w:endnote w:type="continuationSeparator" w:id="0">
    <w:p w:rsidR="003D1CB9" w:rsidRDefault="003D1CB9" w:rsidP="00E5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CB9" w:rsidRDefault="003D1CB9" w:rsidP="00E54010">
      <w:pPr>
        <w:spacing w:after="0" w:line="240" w:lineRule="auto"/>
      </w:pPr>
      <w:r>
        <w:separator/>
      </w:r>
    </w:p>
  </w:footnote>
  <w:footnote w:type="continuationSeparator" w:id="0">
    <w:p w:rsidR="003D1CB9" w:rsidRDefault="003D1CB9" w:rsidP="00E5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13D37"/>
    <w:multiLevelType w:val="multilevel"/>
    <w:tmpl w:val="440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E4B85"/>
    <w:multiLevelType w:val="hybridMultilevel"/>
    <w:tmpl w:val="1E2E0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10"/>
    <w:rsid w:val="00030A42"/>
    <w:rsid w:val="00056E4F"/>
    <w:rsid w:val="000A37B8"/>
    <w:rsid w:val="002474A2"/>
    <w:rsid w:val="003C4927"/>
    <w:rsid w:val="003D1CB9"/>
    <w:rsid w:val="00434A9F"/>
    <w:rsid w:val="006A789C"/>
    <w:rsid w:val="007361F7"/>
    <w:rsid w:val="00770337"/>
    <w:rsid w:val="0083354E"/>
    <w:rsid w:val="00AA0FD5"/>
    <w:rsid w:val="00AC3BFC"/>
    <w:rsid w:val="00BE32E8"/>
    <w:rsid w:val="00C50441"/>
    <w:rsid w:val="00CA41C3"/>
    <w:rsid w:val="00D01562"/>
    <w:rsid w:val="00D348CF"/>
    <w:rsid w:val="00D873F0"/>
    <w:rsid w:val="00DE271D"/>
    <w:rsid w:val="00DF20B4"/>
    <w:rsid w:val="00E41628"/>
    <w:rsid w:val="00E54010"/>
    <w:rsid w:val="00E9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E887F-30DA-46E5-ACDF-B67087C3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401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rsid w:val="00E54010"/>
    <w:pPr>
      <w:spacing w:before="360" w:after="60" w:line="240" w:lineRule="auto"/>
    </w:pPr>
    <w:rPr>
      <w:rFonts w:ascii="Helvetica" w:eastAsia="Times New Roman" w:hAnsi="Helvetica" w:cs="Times New Roman"/>
      <w:b/>
      <w:w w:val="90"/>
      <w:sz w:val="24"/>
      <w:szCs w:val="20"/>
    </w:rPr>
  </w:style>
  <w:style w:type="paragraph" w:styleId="NoSpacing">
    <w:name w:val="No Spacing"/>
    <w:uiPriority w:val="1"/>
    <w:qFormat/>
    <w:rsid w:val="00E5401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54010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Text">
    <w:name w:val="Text"/>
    <w:rsid w:val="00E54010"/>
    <w:pPr>
      <w:suppressAutoHyphens/>
      <w:spacing w:before="300" w:after="0" w:line="240" w:lineRule="auto"/>
    </w:pPr>
    <w:rPr>
      <w:rFonts w:ascii="Helvetica" w:eastAsia="Times New Roman" w:hAnsi="Helvetica" w:cs="Times New Roman"/>
      <w:w w:val="90"/>
      <w:szCs w:val="20"/>
    </w:rPr>
  </w:style>
  <w:style w:type="paragraph" w:customStyle="1" w:styleId="NumberList">
    <w:name w:val="Number List"/>
    <w:rsid w:val="00E54010"/>
    <w:pPr>
      <w:tabs>
        <w:tab w:val="left" w:pos="360"/>
      </w:tabs>
      <w:spacing w:before="120" w:after="0" w:line="240" w:lineRule="auto"/>
      <w:ind w:left="360" w:hanging="360"/>
    </w:pPr>
    <w:rPr>
      <w:rFonts w:ascii="Helvetica" w:eastAsia="Times New Roman" w:hAnsi="Helvetica" w:cs="Times New Roman"/>
      <w:w w:val="90"/>
      <w:szCs w:val="20"/>
    </w:rPr>
  </w:style>
  <w:style w:type="paragraph" w:styleId="FootnoteText">
    <w:name w:val="footnote text"/>
    <w:basedOn w:val="Normal"/>
    <w:link w:val="FootnoteTextChar"/>
    <w:semiHidden/>
    <w:rsid w:val="00E54010"/>
    <w:pPr>
      <w:spacing w:after="0" w:line="240" w:lineRule="auto"/>
    </w:pPr>
    <w:rPr>
      <w:rFonts w:ascii="Helvetica" w:eastAsia="Times New Roman" w:hAnsi="Helvetica" w:cs="Times New Roman"/>
      <w:w w:val="9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4010"/>
    <w:rPr>
      <w:rFonts w:ascii="Helvetica" w:eastAsia="Times New Roman" w:hAnsi="Helvetica" w:cs="Times New Roman"/>
      <w:w w:val="90"/>
      <w:sz w:val="20"/>
      <w:szCs w:val="20"/>
    </w:rPr>
  </w:style>
  <w:style w:type="character" w:styleId="FootnoteReference">
    <w:name w:val="footnote reference"/>
    <w:basedOn w:val="DefaultParagraphFont"/>
    <w:semiHidden/>
    <w:rsid w:val="00E54010"/>
    <w:rPr>
      <w:rFonts w:ascii="Helvetica" w:hAnsi="Helvetica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C5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17</cp:revision>
  <dcterms:created xsi:type="dcterms:W3CDTF">2025-07-20T22:46:00Z</dcterms:created>
  <dcterms:modified xsi:type="dcterms:W3CDTF">2026-02-27T13:44:00Z</dcterms:modified>
</cp:coreProperties>
</file>